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4A495B" w14:textId="66092F18" w:rsidR="009E24B9" w:rsidRPr="009E24B9" w:rsidRDefault="0086026A" w:rsidP="009E24B9">
      <w:pPr>
        <w:pStyle w:val="Heading1"/>
      </w:pPr>
      <w:r w:rsidRPr="0086026A">
        <w:rPr>
          <w:noProof/>
          <w:sz w:val="29"/>
        </w:rPr>
        <mc:AlternateContent>
          <mc:Choice Requires="wps">
            <w:drawing>
              <wp:anchor distT="45720" distB="45720" distL="114300" distR="114300" simplePos="0" relativeHeight="251660800" behindDoc="1" locked="0" layoutInCell="1" allowOverlap="1" wp14:anchorId="292A721D" wp14:editId="3BD77E59">
                <wp:simplePos x="0" y="0"/>
                <wp:positionH relativeFrom="column">
                  <wp:posOffset>7524750</wp:posOffset>
                </wp:positionH>
                <wp:positionV relativeFrom="page">
                  <wp:posOffset>228600</wp:posOffset>
                </wp:positionV>
                <wp:extent cx="1876425" cy="12763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1276350"/>
                        </a:xfrm>
                        <a:prstGeom prst="rect">
                          <a:avLst/>
                        </a:prstGeom>
                        <a:solidFill>
                          <a:sysClr val="windowText" lastClr="000000">
                            <a:alpha val="19000"/>
                          </a:sysClr>
                        </a:solidFill>
                        <a:ln w="9525">
                          <a:solidFill>
                            <a:srgbClr val="000000"/>
                          </a:solidFill>
                          <a:miter lim="800000"/>
                          <a:headEnd/>
                          <a:tailEnd/>
                        </a:ln>
                      </wps:spPr>
                      <wps:txbx>
                        <w:txbxContent>
                          <w:p w14:paraId="627361F6" w14:textId="69406E45" w:rsidR="004619E7" w:rsidRDefault="008A1325" w:rsidP="0086026A">
                            <w:pPr>
                              <w:pStyle w:val="BodyText"/>
                              <w:spacing w:before="2"/>
                              <w:rPr>
                                <w:color w:val="000000" w:themeColor="text1"/>
                                <w:sz w:val="18"/>
                                <w:szCs w:val="18"/>
                              </w:rPr>
                            </w:pPr>
                            <w:r w:rsidRPr="004619E7">
                              <w:rPr>
                                <w:color w:val="000000" w:themeColor="text1"/>
                                <w:sz w:val="18"/>
                                <w:szCs w:val="18"/>
                              </w:rPr>
                              <w:t>This rubric was created using the</w:t>
                            </w:r>
                            <w:r w:rsidR="00167C7A">
                              <w:rPr>
                                <w:color w:val="000000" w:themeColor="text1"/>
                                <w:sz w:val="18"/>
                                <w:szCs w:val="18"/>
                              </w:rPr>
                              <w:t xml:space="preserve"> </w:t>
                            </w:r>
                            <w:r w:rsidR="00167C7A" w:rsidRPr="006926F7">
                              <w:rPr>
                                <w:i/>
                                <w:color w:val="000000" w:themeColor="text1"/>
                                <w:sz w:val="18"/>
                                <w:szCs w:val="18"/>
                              </w:rPr>
                              <w:t>NMHED Essential Skill Rubrics</w:t>
                            </w:r>
                            <w:r w:rsidR="00167C7A">
                              <w:rPr>
                                <w:color w:val="000000" w:themeColor="text1"/>
                                <w:sz w:val="18"/>
                                <w:szCs w:val="18"/>
                              </w:rPr>
                              <w:t xml:space="preserve"> and the</w:t>
                            </w:r>
                            <w:r w:rsidRPr="004619E7">
                              <w:rPr>
                                <w:color w:val="000000" w:themeColor="text1"/>
                                <w:sz w:val="18"/>
                                <w:szCs w:val="18"/>
                              </w:rPr>
                              <w:t xml:space="preserve"> Association of American Colleges and Universities (AAC&amp;U) </w:t>
                            </w:r>
                            <w:r w:rsidR="006926F7" w:rsidRPr="006926F7">
                              <w:rPr>
                                <w:i/>
                                <w:color w:val="000000" w:themeColor="text1"/>
                                <w:sz w:val="18"/>
                                <w:szCs w:val="18"/>
                              </w:rPr>
                              <w:t>Written Communication</w:t>
                            </w:r>
                            <w:r w:rsidRPr="006926F7">
                              <w:rPr>
                                <w:i/>
                                <w:color w:val="000000" w:themeColor="text1"/>
                                <w:sz w:val="18"/>
                                <w:szCs w:val="18"/>
                              </w:rPr>
                              <w:t xml:space="preserve"> VALUE Rubric</w:t>
                            </w:r>
                            <w:r w:rsidRPr="004619E7">
                              <w:rPr>
                                <w:color w:val="000000" w:themeColor="text1"/>
                                <w:sz w:val="18"/>
                                <w:szCs w:val="18"/>
                              </w:rPr>
                              <w:t xml:space="preserve">. </w:t>
                            </w:r>
                          </w:p>
                          <w:p w14:paraId="3A8393A2" w14:textId="0A25AD3B" w:rsidR="0086026A" w:rsidRPr="004619E7" w:rsidRDefault="008A1325" w:rsidP="0086026A">
                            <w:pPr>
                              <w:pStyle w:val="BodyText"/>
                              <w:spacing w:before="2"/>
                              <w:rPr>
                                <w:sz w:val="18"/>
                                <w:szCs w:val="18"/>
                              </w:rPr>
                            </w:pPr>
                            <w:r w:rsidRPr="004619E7">
                              <w:rPr>
                                <w:color w:val="000000" w:themeColor="text1"/>
                                <w:sz w:val="18"/>
                                <w:szCs w:val="18"/>
                              </w:rPr>
                              <w:t xml:space="preserve">Retrieved from </w:t>
                            </w:r>
                            <w:hyperlink r:id="rId6" w:history="1">
                              <w:r w:rsidRPr="004619E7">
                                <w:rPr>
                                  <w:rStyle w:val="Hyperlink"/>
                                  <w:sz w:val="18"/>
                                  <w:szCs w:val="18"/>
                                </w:rPr>
                                <w:t>https://www.aacu.org/value-rubrics</w:t>
                              </w:r>
                            </w:hyperlink>
                          </w:p>
                          <w:p w14:paraId="64C378EE" w14:textId="77777777" w:rsidR="0086026A" w:rsidRDefault="0086026A" w:rsidP="0086026A"/>
                        </w:txbxContent>
                      </wps:txbx>
                      <wps:bodyPr rot="0" vert="horz" wrap="square" lIns="45720" tIns="45720" rIns="4572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92A721D" id="_x0000_t202" coordsize="21600,21600" o:spt="202" path="m,l,21600r21600,l21600,xe">
                <v:stroke joinstyle="miter"/>
                <v:path gradientshapeok="t" o:connecttype="rect"/>
              </v:shapetype>
              <v:shape id="Text Box 2" o:spid="_x0000_s1026" type="#_x0000_t202" style="position:absolute;left:0;text-align:left;margin-left:592.5pt;margin-top:18pt;width:147.75pt;height:100.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" fillcolor="windowText">
                <v:fill opacity="12336f"/>
                <v:textbox inset="3.6pt,,3.6pt">
                  <w:txbxContent>
                    <w:p w14:paraId="627361F6" w14:textId="69406E45" w:rsidR="004619E7" w:rsidRDefault="008A1325" w:rsidP="0086026A">
                      <w:pPr>
                        <w:pStyle w:val="BodyText"/>
                        <w:spacing w:before="2"/>
                        <w:rPr>
                          <w:color w:val="000000" w:themeColor="text1"/>
                          <w:sz w:val="18"/>
                          <w:szCs w:val="18"/>
                        </w:rPr>
                      </w:pPr>
                      <w:r w:rsidRPr="004619E7">
                        <w:rPr>
                          <w:color w:val="000000" w:themeColor="text1"/>
                          <w:sz w:val="18"/>
                          <w:szCs w:val="18"/>
                        </w:rPr>
                        <w:t>This rubric was created using the</w:t>
                      </w:r>
                      <w:r w:rsidR="00167C7A">
                        <w:rPr>
                          <w:color w:val="000000" w:themeColor="text1"/>
                          <w:sz w:val="18"/>
                          <w:szCs w:val="18"/>
                        </w:rPr>
                        <w:t xml:space="preserve"> </w:t>
                      </w:r>
                      <w:r w:rsidR="00167C7A" w:rsidRPr="006926F7">
                        <w:rPr>
                          <w:i/>
                          <w:color w:val="000000" w:themeColor="text1"/>
                          <w:sz w:val="18"/>
                          <w:szCs w:val="18"/>
                        </w:rPr>
                        <w:t>NMHED Essential Skill Rubrics</w:t>
                      </w:r>
                      <w:r w:rsidR="00167C7A">
                        <w:rPr>
                          <w:color w:val="000000" w:themeColor="text1"/>
                          <w:sz w:val="18"/>
                          <w:szCs w:val="18"/>
                        </w:rPr>
                        <w:t xml:space="preserve"> and the</w:t>
                      </w:r>
                      <w:r w:rsidRPr="004619E7">
                        <w:rPr>
                          <w:color w:val="000000" w:themeColor="text1"/>
                          <w:sz w:val="18"/>
                          <w:szCs w:val="18"/>
                        </w:rPr>
                        <w:t xml:space="preserve"> Association of American Colleges and Universities (AAC&amp;U) </w:t>
                      </w:r>
                      <w:r w:rsidR="006926F7" w:rsidRPr="006926F7">
                        <w:rPr>
                          <w:i/>
                          <w:color w:val="000000" w:themeColor="text1"/>
                          <w:sz w:val="18"/>
                          <w:szCs w:val="18"/>
                        </w:rPr>
                        <w:t>Written Communication</w:t>
                      </w:r>
                      <w:r w:rsidRPr="006926F7">
                        <w:rPr>
                          <w:i/>
                          <w:color w:val="000000" w:themeColor="text1"/>
                          <w:sz w:val="18"/>
                          <w:szCs w:val="18"/>
                        </w:rPr>
                        <w:t xml:space="preserve"> VALUE Rubric</w:t>
                      </w:r>
                      <w:r w:rsidRPr="004619E7">
                        <w:rPr>
                          <w:color w:val="000000" w:themeColor="text1"/>
                          <w:sz w:val="18"/>
                          <w:szCs w:val="18"/>
                        </w:rPr>
                        <w:t xml:space="preserve">. </w:t>
                      </w:r>
                    </w:p>
                    <w:p w14:paraId="3A8393A2" w14:textId="0A25AD3B" w:rsidR="0086026A" w:rsidRPr="004619E7" w:rsidRDefault="008A1325" w:rsidP="0086026A">
                      <w:pPr>
                        <w:pStyle w:val="BodyText"/>
                        <w:spacing w:before="2"/>
                        <w:rPr>
                          <w:sz w:val="18"/>
                          <w:szCs w:val="18"/>
                        </w:rPr>
                      </w:pPr>
                      <w:r w:rsidRPr="004619E7">
                        <w:rPr>
                          <w:color w:val="000000" w:themeColor="text1"/>
                          <w:sz w:val="18"/>
                          <w:szCs w:val="18"/>
                        </w:rPr>
                        <w:t xml:space="preserve">Retrieved from </w:t>
                      </w:r>
                      <w:hyperlink r:id="rId7" w:history="1">
                        <w:r w:rsidRPr="004619E7">
                          <w:rPr>
                            <w:rStyle w:val="Hyperlink"/>
                            <w:sz w:val="18"/>
                            <w:szCs w:val="18"/>
                          </w:rPr>
                          <w:t>https://www.aacu.org/value-rubrics</w:t>
                        </w:r>
                      </w:hyperlink>
                    </w:p>
                    <w:p w14:paraId="64C378EE" w14:textId="77777777" w:rsidR="0086026A" w:rsidRDefault="0086026A" w:rsidP="0086026A"/>
                  </w:txbxContent>
                </v:textbox>
                <w10:wrap type="square" anchory="page"/>
              </v:shape>
            </w:pict>
          </mc:Fallback>
        </mc:AlternateContent>
      </w:r>
      <w:r w:rsidR="009E24B9" w:rsidRPr="009E24B9">
        <w:t xml:space="preserve">Essential Skill: </w:t>
      </w:r>
      <w:r w:rsidR="00EA2950">
        <w:t>Communication</w:t>
      </w:r>
    </w:p>
    <w:p w14:paraId="2DF96BC2" w14:textId="34899897" w:rsidR="008A1325" w:rsidRDefault="00EA2950" w:rsidP="008A1325">
      <w:pPr>
        <w:pStyle w:val="BodyText"/>
        <w:spacing w:before="6" w:line="244" w:lineRule="auto"/>
        <w:ind w:left="213" w:right="202"/>
        <w:rPr>
          <w:w w:val="105"/>
        </w:rPr>
      </w:pPr>
      <w:r w:rsidRPr="00EA2950">
        <w:rPr>
          <w:w w:val="105"/>
        </w:rPr>
        <w:t xml:space="preserve">Courses in this area should begin to prepare students for communication in subsequent college courses, the workplace, personal and social spheres, and civic life. The courses should prepare students to become versatile communicators who can respond </w:t>
      </w:r>
      <w:r w:rsidR="00DE7FA8">
        <w:rPr>
          <w:w w:val="105"/>
        </w:rPr>
        <w:t xml:space="preserve">to a diverse range of </w:t>
      </w:r>
      <w:r w:rsidR="004C6C6C">
        <w:rPr>
          <w:w w:val="105"/>
        </w:rPr>
        <w:t>audiences, purposes, and contexts</w:t>
      </w:r>
      <w:r w:rsidR="004C6C6C" w:rsidRPr="00EA2950">
        <w:rPr>
          <w:w w:val="105"/>
        </w:rPr>
        <w:t xml:space="preserve"> </w:t>
      </w:r>
      <w:r w:rsidRPr="00EA2950">
        <w:rPr>
          <w:w w:val="105"/>
        </w:rPr>
        <w:t>with appropriate texts and performances in various media.</w:t>
      </w:r>
    </w:p>
    <w:p w14:paraId="0FC3DA27" w14:textId="77777777" w:rsidR="00167C7A" w:rsidRDefault="00167C7A" w:rsidP="008A1325">
      <w:pPr>
        <w:pStyle w:val="BodyText"/>
        <w:spacing w:before="6" w:line="244" w:lineRule="auto"/>
        <w:ind w:left="213" w:right="202"/>
      </w:pPr>
    </w:p>
    <w:tbl>
      <w:tblPr>
        <w:tblStyle w:val="TableGrid"/>
        <w:tblpPr w:leftFromText="180" w:rightFromText="180" w:vertAnchor="page" w:horzAnchor="margin" w:tblpY="2536"/>
        <w:tblW w:w="14528" w:type="dxa"/>
        <w:tblLayout w:type="fixed"/>
        <w:tblCellMar>
          <w:top w:w="144" w:type="dxa"/>
          <w:left w:w="144" w:type="dxa"/>
          <w:bottom w:w="144" w:type="dxa"/>
          <w:right w:w="144" w:type="dxa"/>
        </w:tblCellMar>
        <w:tblLook w:val="04A0" w:firstRow="1" w:lastRow="0" w:firstColumn="1" w:lastColumn="0" w:noHBand="0" w:noVBand="1"/>
      </w:tblPr>
      <w:tblGrid>
        <w:gridCol w:w="3967"/>
        <w:gridCol w:w="2480"/>
        <w:gridCol w:w="2657"/>
        <w:gridCol w:w="2518"/>
        <w:gridCol w:w="2906"/>
      </w:tblGrid>
      <w:tr w:rsidR="00333B37" w:rsidRPr="00D62070" w14:paraId="20EF4494" w14:textId="77777777" w:rsidTr="006E4D91">
        <w:trPr>
          <w:trHeight w:val="141"/>
        </w:trPr>
        <w:tc>
          <w:tcPr>
            <w:tcW w:w="3967" w:type="dxa"/>
            <w:tcBorders>
              <w:top w:val="single" w:sz="12" w:space="0" w:color="auto"/>
              <w:left w:val="single" w:sz="12" w:space="0" w:color="auto"/>
              <w:bottom w:val="single" w:sz="12" w:space="0" w:color="auto"/>
              <w:right w:val="single" w:sz="12" w:space="0" w:color="auto"/>
            </w:tcBorders>
            <w:shd w:val="clear" w:color="auto" w:fill="E7E6E6" w:themeFill="background2"/>
          </w:tcPr>
          <w:p w14:paraId="4E962E56" w14:textId="212AEDE1" w:rsidR="008C5A16" w:rsidRPr="00EF49D3" w:rsidRDefault="00336EE7" w:rsidP="008C5A16">
            <w:pPr>
              <w:pStyle w:val="TableParagraph"/>
              <w:rPr>
                <w:b/>
                <w:szCs w:val="18"/>
              </w:rPr>
            </w:pPr>
            <w:r>
              <w:rPr>
                <w:b/>
                <w:szCs w:val="18"/>
              </w:rPr>
              <w:t>Dimension</w:t>
            </w:r>
          </w:p>
        </w:tc>
        <w:tc>
          <w:tcPr>
            <w:tcW w:w="2480" w:type="dxa"/>
            <w:tcBorders>
              <w:top w:val="single" w:sz="12" w:space="0" w:color="auto"/>
              <w:left w:val="single" w:sz="12" w:space="0" w:color="auto"/>
              <w:bottom w:val="single" w:sz="12" w:space="0" w:color="auto"/>
              <w:right w:val="single" w:sz="12" w:space="0" w:color="auto"/>
            </w:tcBorders>
            <w:shd w:val="clear" w:color="auto" w:fill="E7E6E6" w:themeFill="background2"/>
          </w:tcPr>
          <w:p w14:paraId="727C73AE" w14:textId="52BF9F96" w:rsidR="008C5A16" w:rsidRPr="00EF49D3" w:rsidRDefault="008C5A16" w:rsidP="008C5A16">
            <w:pPr>
              <w:pStyle w:val="TableParagraph"/>
              <w:rPr>
                <w:b/>
                <w:szCs w:val="18"/>
              </w:rPr>
            </w:pPr>
            <w:r w:rsidRPr="00EF49D3">
              <w:rPr>
                <w:b/>
                <w:szCs w:val="18"/>
              </w:rPr>
              <w:t>0</w:t>
            </w:r>
            <w:r w:rsidR="00AF50BF">
              <w:rPr>
                <w:b/>
                <w:szCs w:val="18"/>
              </w:rPr>
              <w:t xml:space="preserve"> </w:t>
            </w:r>
            <w:r w:rsidRPr="00EF49D3">
              <w:rPr>
                <w:b/>
                <w:szCs w:val="18"/>
              </w:rPr>
              <w:t>= No Evidence</w:t>
            </w:r>
          </w:p>
        </w:tc>
        <w:tc>
          <w:tcPr>
            <w:tcW w:w="2657" w:type="dxa"/>
            <w:tcBorders>
              <w:top w:val="single" w:sz="12" w:space="0" w:color="auto"/>
              <w:left w:val="single" w:sz="12" w:space="0" w:color="auto"/>
              <w:bottom w:val="single" w:sz="12" w:space="0" w:color="auto"/>
              <w:right w:val="single" w:sz="12" w:space="0" w:color="auto"/>
            </w:tcBorders>
            <w:shd w:val="clear" w:color="auto" w:fill="E7E6E6" w:themeFill="background2"/>
          </w:tcPr>
          <w:p w14:paraId="2B6EBD45" w14:textId="64CE2072" w:rsidR="008C5A16" w:rsidRPr="0069268E" w:rsidRDefault="008C5A16" w:rsidP="008C5A16">
            <w:pPr>
              <w:pStyle w:val="TableParagraph"/>
              <w:rPr>
                <w:b/>
                <w:szCs w:val="18"/>
              </w:rPr>
            </w:pPr>
            <w:r w:rsidRPr="0069268E">
              <w:rPr>
                <w:b/>
                <w:szCs w:val="18"/>
              </w:rPr>
              <w:t>1</w:t>
            </w:r>
            <w:r w:rsidR="00AF50BF">
              <w:rPr>
                <w:b/>
                <w:szCs w:val="18"/>
              </w:rPr>
              <w:t xml:space="preserve"> </w:t>
            </w:r>
            <w:r w:rsidRPr="0069268E">
              <w:rPr>
                <w:b/>
                <w:szCs w:val="18"/>
              </w:rPr>
              <w:t>= Emerging</w:t>
            </w:r>
          </w:p>
        </w:tc>
        <w:tc>
          <w:tcPr>
            <w:tcW w:w="2518" w:type="dxa"/>
            <w:tcBorders>
              <w:top w:val="single" w:sz="12" w:space="0" w:color="auto"/>
              <w:left w:val="single" w:sz="12" w:space="0" w:color="auto"/>
              <w:bottom w:val="single" w:sz="12" w:space="0" w:color="auto"/>
              <w:right w:val="single" w:sz="12" w:space="0" w:color="auto"/>
            </w:tcBorders>
            <w:shd w:val="clear" w:color="auto" w:fill="E7E6E6" w:themeFill="background2"/>
          </w:tcPr>
          <w:p w14:paraId="525FB8A3" w14:textId="1C218B1F" w:rsidR="008C5A16" w:rsidRPr="0069268E" w:rsidRDefault="008C5A16" w:rsidP="008C5A16">
            <w:pPr>
              <w:pStyle w:val="TableParagraph"/>
              <w:rPr>
                <w:b/>
                <w:szCs w:val="18"/>
              </w:rPr>
            </w:pPr>
            <w:r w:rsidRPr="0069268E">
              <w:rPr>
                <w:b/>
                <w:szCs w:val="18"/>
              </w:rPr>
              <w:t>2</w:t>
            </w:r>
            <w:r w:rsidR="00AF50BF">
              <w:rPr>
                <w:b/>
                <w:szCs w:val="18"/>
              </w:rPr>
              <w:t xml:space="preserve"> </w:t>
            </w:r>
            <w:r w:rsidRPr="0069268E">
              <w:rPr>
                <w:b/>
                <w:szCs w:val="18"/>
              </w:rPr>
              <w:t>= Developing</w:t>
            </w:r>
          </w:p>
        </w:tc>
        <w:tc>
          <w:tcPr>
            <w:tcW w:w="2906" w:type="dxa"/>
            <w:tcBorders>
              <w:top w:val="single" w:sz="12" w:space="0" w:color="auto"/>
              <w:left w:val="single" w:sz="12" w:space="0" w:color="auto"/>
              <w:bottom w:val="single" w:sz="12" w:space="0" w:color="auto"/>
              <w:right w:val="single" w:sz="12" w:space="0" w:color="auto"/>
            </w:tcBorders>
            <w:shd w:val="clear" w:color="auto" w:fill="E7E6E6" w:themeFill="background2"/>
          </w:tcPr>
          <w:p w14:paraId="3D3B2460" w14:textId="0C1EFA4A" w:rsidR="008C5A16" w:rsidRPr="0069268E" w:rsidRDefault="008C5A16" w:rsidP="008C5A16">
            <w:pPr>
              <w:pStyle w:val="TableParagraph"/>
              <w:rPr>
                <w:b/>
                <w:szCs w:val="18"/>
              </w:rPr>
            </w:pPr>
            <w:r w:rsidRPr="0069268E">
              <w:rPr>
                <w:b/>
                <w:szCs w:val="18"/>
              </w:rPr>
              <w:t>3</w:t>
            </w:r>
            <w:r w:rsidR="00AF50BF">
              <w:rPr>
                <w:b/>
                <w:szCs w:val="18"/>
              </w:rPr>
              <w:t xml:space="preserve"> </w:t>
            </w:r>
            <w:r w:rsidRPr="0069268E">
              <w:rPr>
                <w:b/>
                <w:szCs w:val="18"/>
              </w:rPr>
              <w:t>= Proficient</w:t>
            </w:r>
          </w:p>
        </w:tc>
      </w:tr>
      <w:tr w:rsidR="00AB533B" w:rsidRPr="00D62070" w14:paraId="005541C5" w14:textId="77777777" w:rsidTr="006E4D91">
        <w:trPr>
          <w:trHeight w:val="683"/>
        </w:trPr>
        <w:tc>
          <w:tcPr>
            <w:tcW w:w="3967" w:type="dxa"/>
            <w:tcBorders>
              <w:top w:val="single" w:sz="12" w:space="0" w:color="auto"/>
              <w:right w:val="single" w:sz="12" w:space="0" w:color="auto"/>
            </w:tcBorders>
          </w:tcPr>
          <w:p w14:paraId="6FA1D925" w14:textId="128A547B" w:rsidR="00B36D19" w:rsidRDefault="00EA2950" w:rsidP="00B36D19">
            <w:pPr>
              <w:pStyle w:val="TableParagraph"/>
              <w:rPr>
                <w:b/>
              </w:rPr>
            </w:pPr>
            <w:r w:rsidRPr="00EA2950">
              <w:rPr>
                <w:b/>
              </w:rPr>
              <w:t xml:space="preserve">Genre and </w:t>
            </w:r>
            <w:r w:rsidR="00B36D19">
              <w:rPr>
                <w:b/>
              </w:rPr>
              <w:t>Disciplinary Conventions:</w:t>
            </w:r>
          </w:p>
          <w:p w14:paraId="5FD79DFE" w14:textId="7C6A9A63" w:rsidR="00B36D19" w:rsidRPr="00B36D19" w:rsidRDefault="006926F7" w:rsidP="00B36D19">
            <w:pPr>
              <w:pStyle w:val="TableParagraph"/>
              <w:rPr>
                <w:szCs w:val="18"/>
              </w:rPr>
            </w:pPr>
            <w:r>
              <w:rPr>
                <w:szCs w:val="18"/>
              </w:rPr>
              <w:t>Use f</w:t>
            </w:r>
            <w:r w:rsidR="00336EE7" w:rsidRPr="00336EE7">
              <w:rPr>
                <w:szCs w:val="18"/>
              </w:rPr>
              <w:t>ormal and informal rules</w:t>
            </w:r>
            <w:r w:rsidR="00DE7FA8">
              <w:rPr>
                <w:szCs w:val="18"/>
              </w:rPr>
              <w:t>/registers</w:t>
            </w:r>
            <w:r w:rsidR="00336EE7" w:rsidRPr="00336EE7">
              <w:rPr>
                <w:szCs w:val="18"/>
              </w:rPr>
              <w:t xml:space="preserve"> </w:t>
            </w:r>
            <w:r>
              <w:rPr>
                <w:szCs w:val="18"/>
              </w:rPr>
              <w:t xml:space="preserve">appropriate </w:t>
            </w:r>
            <w:r w:rsidR="00336EE7" w:rsidRPr="00336EE7">
              <w:rPr>
                <w:szCs w:val="18"/>
              </w:rPr>
              <w:t xml:space="preserve">for </w:t>
            </w:r>
            <w:r>
              <w:rPr>
                <w:szCs w:val="18"/>
              </w:rPr>
              <w:t>the</w:t>
            </w:r>
            <w:r w:rsidR="004C6C6C" w:rsidRPr="00336EE7">
              <w:rPr>
                <w:szCs w:val="18"/>
              </w:rPr>
              <w:t xml:space="preserve"> particular</w:t>
            </w:r>
            <w:r w:rsidR="004C6C6C">
              <w:rPr>
                <w:szCs w:val="18"/>
              </w:rPr>
              <w:t xml:space="preserve"> audience, community, purpose, context, </w:t>
            </w:r>
            <w:r w:rsidR="00DE7FA8">
              <w:rPr>
                <w:szCs w:val="18"/>
              </w:rPr>
              <w:t xml:space="preserve">and </w:t>
            </w:r>
            <w:r>
              <w:rPr>
                <w:szCs w:val="18"/>
              </w:rPr>
              <w:t>kind of text</w:t>
            </w:r>
            <w:r w:rsidR="00336EE7" w:rsidRPr="00336EE7">
              <w:rPr>
                <w:szCs w:val="18"/>
              </w:rPr>
              <w:t xml:space="preserve"> and/or media</w:t>
            </w:r>
            <w:r>
              <w:rPr>
                <w:szCs w:val="18"/>
              </w:rPr>
              <w:t xml:space="preserve"> at hand; use them to</w:t>
            </w:r>
            <w:r w:rsidR="00336EE7" w:rsidRPr="00336EE7">
              <w:rPr>
                <w:szCs w:val="18"/>
              </w:rPr>
              <w:t xml:space="preserve"> guide formatting, orga</w:t>
            </w:r>
            <w:r>
              <w:rPr>
                <w:szCs w:val="18"/>
              </w:rPr>
              <w:t>nization, and stylistic choices.</w:t>
            </w:r>
            <w:r w:rsidR="00336EE7" w:rsidRPr="00336EE7">
              <w:rPr>
                <w:szCs w:val="18"/>
              </w:rPr>
              <w:t xml:space="preserve"> </w:t>
            </w:r>
          </w:p>
          <w:p w14:paraId="1626A31B" w14:textId="02796998" w:rsidR="008C5A16" w:rsidRPr="00EA2950" w:rsidRDefault="008C5A16" w:rsidP="00EA2950">
            <w:pPr>
              <w:pStyle w:val="TableParagraph"/>
              <w:rPr>
                <w:szCs w:val="18"/>
              </w:rPr>
            </w:pPr>
          </w:p>
        </w:tc>
        <w:tc>
          <w:tcPr>
            <w:tcW w:w="2480" w:type="dxa"/>
            <w:tcBorders>
              <w:top w:val="single" w:sz="12" w:space="0" w:color="auto"/>
              <w:left w:val="single" w:sz="12" w:space="0" w:color="auto"/>
            </w:tcBorders>
          </w:tcPr>
          <w:p w14:paraId="76730653" w14:textId="162D6AC5" w:rsidR="008C5A16" w:rsidRPr="00D62070" w:rsidRDefault="007B3C33" w:rsidP="006926F7">
            <w:pPr>
              <w:pStyle w:val="TableParagraph"/>
              <w:rPr>
                <w:szCs w:val="18"/>
              </w:rPr>
            </w:pPr>
            <w:r>
              <w:rPr>
                <w:szCs w:val="18"/>
              </w:rPr>
              <w:t>No</w:t>
            </w:r>
            <w:r w:rsidR="00EA2950" w:rsidRPr="00EA2950">
              <w:rPr>
                <w:szCs w:val="18"/>
              </w:rPr>
              <w:t xml:space="preserve"> evidence of </w:t>
            </w:r>
            <w:r>
              <w:rPr>
                <w:szCs w:val="18"/>
              </w:rPr>
              <w:t xml:space="preserve">genre </w:t>
            </w:r>
            <w:r w:rsidR="008C230A">
              <w:rPr>
                <w:szCs w:val="18"/>
              </w:rPr>
              <w:t xml:space="preserve">and disciplinary </w:t>
            </w:r>
            <w:bookmarkStart w:id="0" w:name="_GoBack"/>
            <w:bookmarkEnd w:id="0"/>
            <w:r>
              <w:rPr>
                <w:szCs w:val="18"/>
              </w:rPr>
              <w:t>conventions</w:t>
            </w:r>
            <w:r w:rsidR="00A44F67">
              <w:rPr>
                <w:szCs w:val="18"/>
              </w:rPr>
              <w:t xml:space="preserve"> for organization, presentation, or content is</w:t>
            </w:r>
            <w:r w:rsidR="00F55898">
              <w:rPr>
                <w:szCs w:val="18"/>
              </w:rPr>
              <w:t xml:space="preserve"> present.  </w:t>
            </w:r>
            <w:r w:rsidR="00EA2950" w:rsidRPr="00EA2950">
              <w:rPr>
                <w:szCs w:val="18"/>
              </w:rPr>
              <w:t xml:space="preserve"> </w:t>
            </w:r>
          </w:p>
        </w:tc>
        <w:tc>
          <w:tcPr>
            <w:tcW w:w="2657" w:type="dxa"/>
            <w:tcBorders>
              <w:top w:val="single" w:sz="12" w:space="0" w:color="auto"/>
            </w:tcBorders>
          </w:tcPr>
          <w:p w14:paraId="35C68B53" w14:textId="58D6EB0F" w:rsidR="008C5A16" w:rsidRPr="00D62070" w:rsidRDefault="00C3472D" w:rsidP="00A44F67">
            <w:pPr>
              <w:pStyle w:val="TableParagraph"/>
              <w:rPr>
                <w:szCs w:val="18"/>
              </w:rPr>
            </w:pPr>
            <w:r>
              <w:rPr>
                <w:szCs w:val="18"/>
              </w:rPr>
              <w:t>Some a</w:t>
            </w:r>
            <w:r w:rsidR="00B36D19">
              <w:rPr>
                <w:szCs w:val="18"/>
              </w:rPr>
              <w:t xml:space="preserve">ttempts to use </w:t>
            </w:r>
            <w:r w:rsidR="00A44F67">
              <w:rPr>
                <w:szCs w:val="18"/>
              </w:rPr>
              <w:t>a</w:t>
            </w:r>
            <w:r w:rsidR="00B36D19">
              <w:rPr>
                <w:szCs w:val="18"/>
              </w:rPr>
              <w:t xml:space="preserve"> consistent system for basic organization and presentation</w:t>
            </w:r>
            <w:r w:rsidR="00A44F67">
              <w:rPr>
                <w:szCs w:val="18"/>
              </w:rPr>
              <w:t xml:space="preserve"> are evident</w:t>
            </w:r>
            <w:r w:rsidR="00F55898">
              <w:rPr>
                <w:szCs w:val="18"/>
              </w:rPr>
              <w:t xml:space="preserve">, but ones not necessarily appropriate or consistent with the </w:t>
            </w:r>
            <w:r w:rsidR="00A44F67">
              <w:rPr>
                <w:szCs w:val="18"/>
              </w:rPr>
              <w:t>genre or discipline</w:t>
            </w:r>
            <w:r w:rsidR="00B36D19">
              <w:rPr>
                <w:szCs w:val="18"/>
              </w:rPr>
              <w:t xml:space="preserve">.  </w:t>
            </w:r>
          </w:p>
        </w:tc>
        <w:tc>
          <w:tcPr>
            <w:tcW w:w="2518" w:type="dxa"/>
            <w:tcBorders>
              <w:top w:val="single" w:sz="12" w:space="0" w:color="auto"/>
            </w:tcBorders>
          </w:tcPr>
          <w:p w14:paraId="1CDBBBA8" w14:textId="650E3E19" w:rsidR="008C5A16" w:rsidRPr="00D62070" w:rsidRDefault="00405E43" w:rsidP="00405E43">
            <w:pPr>
              <w:pStyle w:val="TableParagraph"/>
              <w:rPr>
                <w:szCs w:val="18"/>
              </w:rPr>
            </w:pPr>
            <w:r>
              <w:rPr>
                <w:szCs w:val="18"/>
              </w:rPr>
              <w:t>It is evident that</w:t>
            </w:r>
            <w:r w:rsidR="003F3C41">
              <w:rPr>
                <w:szCs w:val="18"/>
              </w:rPr>
              <w:t xml:space="preserve"> some</w:t>
            </w:r>
            <w:r>
              <w:rPr>
                <w:szCs w:val="18"/>
              </w:rPr>
              <w:t xml:space="preserve"> b</w:t>
            </w:r>
            <w:r w:rsidR="00B36D19">
              <w:rPr>
                <w:szCs w:val="18"/>
              </w:rPr>
              <w:t>asic organization, content, and presentation follow</w:t>
            </w:r>
            <w:r w:rsidR="007B3C33">
              <w:rPr>
                <w:szCs w:val="18"/>
              </w:rPr>
              <w:t>s</w:t>
            </w:r>
            <w:r w:rsidR="00B36D19">
              <w:rPr>
                <w:szCs w:val="18"/>
              </w:rPr>
              <w:t xml:space="preserve"> from </w:t>
            </w:r>
            <w:r>
              <w:rPr>
                <w:szCs w:val="18"/>
              </w:rPr>
              <w:t>conventions</w:t>
            </w:r>
            <w:r w:rsidR="00B36D19">
              <w:rPr>
                <w:szCs w:val="18"/>
              </w:rPr>
              <w:t xml:space="preserve"> to a specific </w:t>
            </w:r>
            <w:r w:rsidR="00B36D19" w:rsidRPr="00B36D19">
              <w:rPr>
                <w:szCs w:val="18"/>
              </w:rPr>
              <w:t>di</w:t>
            </w:r>
            <w:r w:rsidR="00B36D19">
              <w:rPr>
                <w:szCs w:val="18"/>
              </w:rPr>
              <w:t>scipline</w:t>
            </w:r>
            <w:r w:rsidR="00A95C53">
              <w:rPr>
                <w:szCs w:val="18"/>
              </w:rPr>
              <w:t>, genre,</w:t>
            </w:r>
            <w:r w:rsidR="00B36D19">
              <w:rPr>
                <w:szCs w:val="18"/>
              </w:rPr>
              <w:t xml:space="preserve"> and/or writing task</w:t>
            </w:r>
            <w:r w:rsidR="003F3C41">
              <w:rPr>
                <w:szCs w:val="18"/>
              </w:rPr>
              <w:t>.</w:t>
            </w:r>
          </w:p>
        </w:tc>
        <w:tc>
          <w:tcPr>
            <w:tcW w:w="2906" w:type="dxa"/>
            <w:tcBorders>
              <w:top w:val="single" w:sz="12" w:space="0" w:color="auto"/>
            </w:tcBorders>
          </w:tcPr>
          <w:p w14:paraId="34BAE0F7" w14:textId="29655617" w:rsidR="008C5A16" w:rsidRPr="00D62070" w:rsidRDefault="00A95C53" w:rsidP="00A95C53">
            <w:pPr>
              <w:pStyle w:val="TableParagraph"/>
              <w:rPr>
                <w:szCs w:val="18"/>
              </w:rPr>
            </w:pPr>
            <w:r>
              <w:rPr>
                <w:szCs w:val="18"/>
              </w:rPr>
              <w:t>Consistent use of important conventions particular to a specific discipline, genre,</w:t>
            </w:r>
            <w:r w:rsidR="00F55898">
              <w:rPr>
                <w:szCs w:val="18"/>
              </w:rPr>
              <w:t xml:space="preserve"> and/or writing task—</w:t>
            </w:r>
            <w:r w:rsidRPr="00A95C53">
              <w:rPr>
                <w:szCs w:val="18"/>
              </w:rPr>
              <w:t>including orga</w:t>
            </w:r>
            <w:r>
              <w:rPr>
                <w:szCs w:val="18"/>
              </w:rPr>
              <w:t xml:space="preserve">nization, content, </w:t>
            </w:r>
            <w:r w:rsidRPr="00A95C53">
              <w:rPr>
                <w:szCs w:val="18"/>
              </w:rPr>
              <w:t>pres</w:t>
            </w:r>
            <w:r>
              <w:rPr>
                <w:szCs w:val="18"/>
              </w:rPr>
              <w:t xml:space="preserve">entation, and stylistic </w:t>
            </w:r>
            <w:r w:rsidRPr="00A95C53">
              <w:rPr>
                <w:szCs w:val="18"/>
              </w:rPr>
              <w:t>choices</w:t>
            </w:r>
            <w:r w:rsidR="00F55898">
              <w:rPr>
                <w:szCs w:val="18"/>
              </w:rPr>
              <w:t>—</w:t>
            </w:r>
            <w:r>
              <w:rPr>
                <w:szCs w:val="18"/>
              </w:rPr>
              <w:t xml:space="preserve">is evident.  </w:t>
            </w:r>
          </w:p>
        </w:tc>
      </w:tr>
      <w:tr w:rsidR="00AB533B" w:rsidRPr="00D62070" w14:paraId="30CCDB16" w14:textId="77777777" w:rsidTr="006E4D91">
        <w:trPr>
          <w:trHeight w:val="744"/>
        </w:trPr>
        <w:tc>
          <w:tcPr>
            <w:tcW w:w="3967" w:type="dxa"/>
            <w:tcBorders>
              <w:right w:val="single" w:sz="12" w:space="0" w:color="auto"/>
            </w:tcBorders>
          </w:tcPr>
          <w:p w14:paraId="1C256B0B" w14:textId="4D9027A9" w:rsidR="00EA2950" w:rsidRPr="00EA2950" w:rsidRDefault="00EA2950" w:rsidP="00167C7A">
            <w:pPr>
              <w:pStyle w:val="TableParagraph"/>
              <w:rPr>
                <w:b/>
              </w:rPr>
            </w:pPr>
            <w:r w:rsidRPr="00EA2950">
              <w:rPr>
                <w:b/>
              </w:rPr>
              <w:t>Strategies f</w:t>
            </w:r>
            <w:r w:rsidR="00167C7A">
              <w:rPr>
                <w:b/>
              </w:rPr>
              <w:t xml:space="preserve">or Understanding and Evaluating </w:t>
            </w:r>
            <w:r w:rsidRPr="00EA2950">
              <w:rPr>
                <w:b/>
              </w:rPr>
              <w:t xml:space="preserve">Messages: </w:t>
            </w:r>
          </w:p>
          <w:p w14:paraId="61C8D478" w14:textId="1399927B" w:rsidR="008C5A16" w:rsidRPr="00EA2950" w:rsidRDefault="00EA2950" w:rsidP="0079713A">
            <w:pPr>
              <w:pStyle w:val="TableParagraph"/>
              <w:rPr>
                <w:szCs w:val="18"/>
              </w:rPr>
            </w:pPr>
            <w:r w:rsidRPr="00EA2950">
              <w:t>Apply strategies such as</w:t>
            </w:r>
            <w:r w:rsidR="004C6C6C" w:rsidRPr="00EA2950">
              <w:t xml:space="preserve"> reading</w:t>
            </w:r>
            <w:r w:rsidR="004C6C6C">
              <w:t>/analyzing</w:t>
            </w:r>
            <w:r w:rsidR="004C6C6C" w:rsidRPr="00EA2950">
              <w:t xml:space="preserve"> for main points</w:t>
            </w:r>
            <w:r w:rsidR="004C6C6C">
              <w:t xml:space="preserve"> or themes</w:t>
            </w:r>
            <w:r w:rsidRPr="00EA2950">
              <w:t xml:space="preserve">; </w:t>
            </w:r>
            <w:r w:rsidR="00D104D0">
              <w:t>recognizing the variety of rhetorical situations and accompanying strategies</w:t>
            </w:r>
            <w:r w:rsidR="0079713A">
              <w:t xml:space="preserve"> that may contextualize</w:t>
            </w:r>
            <w:r w:rsidR="00D104D0">
              <w:t xml:space="preserve"> messages</w:t>
            </w:r>
            <w:r w:rsidRPr="00EA2950">
              <w:t>; locating support</w:t>
            </w:r>
            <w:r w:rsidR="002B3B9B">
              <w:t>ive documentation for arguments</w:t>
            </w:r>
            <w:r w:rsidR="003F3C41">
              <w:t xml:space="preserve"> </w:t>
            </w:r>
            <w:r w:rsidRPr="00EA2950">
              <w:t>to understand and evaluate messages in terms of the rhetorical situation</w:t>
            </w:r>
            <w:r w:rsidR="002B3B9B">
              <w:t>.</w:t>
            </w:r>
          </w:p>
        </w:tc>
        <w:tc>
          <w:tcPr>
            <w:tcW w:w="2480" w:type="dxa"/>
            <w:tcBorders>
              <w:left w:val="single" w:sz="12" w:space="0" w:color="auto"/>
            </w:tcBorders>
            <w:shd w:val="clear" w:color="auto" w:fill="auto"/>
          </w:tcPr>
          <w:p w14:paraId="708BD862" w14:textId="36B5AB92" w:rsidR="008C5A16" w:rsidRDefault="0005702C" w:rsidP="003F3C41">
            <w:pPr>
              <w:pStyle w:val="TableParagraph"/>
            </w:pPr>
            <w:r>
              <w:t>No strategies</w:t>
            </w:r>
            <w:r w:rsidR="002B3B9B">
              <w:t xml:space="preserve"> </w:t>
            </w:r>
            <w:r w:rsidRPr="0005702C">
              <w:t>for understanding and evaluating messages</w:t>
            </w:r>
            <w:r w:rsidR="003F3C41">
              <w:t xml:space="preserve"> is evident</w:t>
            </w:r>
            <w:r w:rsidRPr="0005702C">
              <w:t>.</w:t>
            </w:r>
          </w:p>
        </w:tc>
        <w:tc>
          <w:tcPr>
            <w:tcW w:w="2657" w:type="dxa"/>
          </w:tcPr>
          <w:p w14:paraId="3FF91931" w14:textId="18EF4950" w:rsidR="0015455A" w:rsidRPr="00D62070" w:rsidRDefault="003F3C41" w:rsidP="003F3C41">
            <w:pPr>
              <w:pStyle w:val="TableParagraph"/>
              <w:rPr>
                <w:szCs w:val="18"/>
              </w:rPr>
            </w:pPr>
            <w:r>
              <w:rPr>
                <w:szCs w:val="18"/>
              </w:rPr>
              <w:t>One or more strategies</w:t>
            </w:r>
            <w:r w:rsidR="0005702C" w:rsidRPr="0005702C">
              <w:rPr>
                <w:szCs w:val="18"/>
              </w:rPr>
              <w:t xml:space="preserve"> for understanding and evaluating messages</w:t>
            </w:r>
            <w:r w:rsidR="002B3B9B">
              <w:rPr>
                <w:szCs w:val="18"/>
              </w:rPr>
              <w:t xml:space="preserve"> </w:t>
            </w:r>
            <w:r>
              <w:rPr>
                <w:szCs w:val="18"/>
              </w:rPr>
              <w:t>is present, describing</w:t>
            </w:r>
            <w:r w:rsidR="0005702C" w:rsidRPr="0005702C">
              <w:rPr>
                <w:szCs w:val="18"/>
              </w:rPr>
              <w:t xml:space="preserve"> the central idea of a message.</w:t>
            </w:r>
          </w:p>
        </w:tc>
        <w:tc>
          <w:tcPr>
            <w:tcW w:w="2518" w:type="dxa"/>
          </w:tcPr>
          <w:p w14:paraId="524854BA" w14:textId="3BE3BE2B" w:rsidR="0015455A" w:rsidRPr="00D62070" w:rsidRDefault="003F3C41" w:rsidP="003F3C41">
            <w:pPr>
              <w:pStyle w:val="TableParagraph"/>
              <w:rPr>
                <w:szCs w:val="18"/>
              </w:rPr>
            </w:pPr>
            <w:r>
              <w:rPr>
                <w:szCs w:val="18"/>
              </w:rPr>
              <w:t>S</w:t>
            </w:r>
            <w:r w:rsidR="0005702C" w:rsidRPr="0005702C">
              <w:rPr>
                <w:szCs w:val="18"/>
              </w:rPr>
              <w:t>everal strategies to un</w:t>
            </w:r>
            <w:r w:rsidR="0005702C">
              <w:rPr>
                <w:szCs w:val="18"/>
              </w:rPr>
              <w:t>derstand and evaluate messages</w:t>
            </w:r>
            <w:r>
              <w:rPr>
                <w:szCs w:val="18"/>
              </w:rPr>
              <w:t xml:space="preserve"> are present, </w:t>
            </w:r>
            <w:r w:rsidR="0005702C" w:rsidRPr="0005702C">
              <w:rPr>
                <w:szCs w:val="18"/>
              </w:rPr>
              <w:t>demon</w:t>
            </w:r>
            <w:r>
              <w:rPr>
                <w:szCs w:val="18"/>
              </w:rPr>
              <w:t>strating</w:t>
            </w:r>
            <w:r w:rsidR="0005702C" w:rsidRPr="0005702C">
              <w:rPr>
                <w:szCs w:val="18"/>
              </w:rPr>
              <w:t xml:space="preserve"> awareness that different rhetorical situations may require different strategies.</w:t>
            </w:r>
          </w:p>
        </w:tc>
        <w:tc>
          <w:tcPr>
            <w:tcW w:w="2906" w:type="dxa"/>
          </w:tcPr>
          <w:p w14:paraId="3BE73AF0" w14:textId="6E2207AD" w:rsidR="008C5A16" w:rsidRPr="00D62070" w:rsidRDefault="003F3C41" w:rsidP="003F3C41">
            <w:pPr>
              <w:pStyle w:val="TableParagraph"/>
              <w:rPr>
                <w:szCs w:val="18"/>
              </w:rPr>
            </w:pPr>
            <w:r>
              <w:rPr>
                <w:szCs w:val="18"/>
              </w:rPr>
              <w:t>A</w:t>
            </w:r>
            <w:r w:rsidR="0005702C" w:rsidRPr="0005702C">
              <w:rPr>
                <w:szCs w:val="18"/>
              </w:rPr>
              <w:t xml:space="preserve"> wide range of strategies for understanding and evaluating messages</w:t>
            </w:r>
            <w:r>
              <w:rPr>
                <w:szCs w:val="18"/>
              </w:rPr>
              <w:t xml:space="preserve"> are present</w:t>
            </w:r>
            <w:r w:rsidR="0005702C" w:rsidRPr="0005702C">
              <w:rPr>
                <w:szCs w:val="18"/>
              </w:rPr>
              <w:t xml:space="preserve">. </w:t>
            </w:r>
            <w:r>
              <w:rPr>
                <w:szCs w:val="18"/>
              </w:rPr>
              <w:t>Further, t</w:t>
            </w:r>
            <w:r w:rsidR="0005702C" w:rsidRPr="0005702C">
              <w:rPr>
                <w:szCs w:val="18"/>
              </w:rPr>
              <w:t xml:space="preserve">he effectiveness of </w:t>
            </w:r>
            <w:r>
              <w:rPr>
                <w:szCs w:val="18"/>
              </w:rPr>
              <w:t xml:space="preserve">these </w:t>
            </w:r>
            <w:r w:rsidR="0005702C" w:rsidRPr="0005702C">
              <w:rPr>
                <w:szCs w:val="18"/>
              </w:rPr>
              <w:t>strategies for interpreting messages in different rhetorical situations</w:t>
            </w:r>
            <w:r>
              <w:rPr>
                <w:szCs w:val="18"/>
              </w:rPr>
              <w:t xml:space="preserve"> are evaluated</w:t>
            </w:r>
            <w:r w:rsidR="0005702C" w:rsidRPr="0005702C">
              <w:rPr>
                <w:szCs w:val="18"/>
              </w:rPr>
              <w:t>.</w:t>
            </w:r>
          </w:p>
        </w:tc>
      </w:tr>
      <w:tr w:rsidR="00AB533B" w:rsidRPr="00D62070" w14:paraId="7859336D" w14:textId="77777777" w:rsidTr="008A17D3">
        <w:trPr>
          <w:trHeight w:val="2126"/>
        </w:trPr>
        <w:tc>
          <w:tcPr>
            <w:tcW w:w="3967" w:type="dxa"/>
            <w:tcBorders>
              <w:right w:val="single" w:sz="12" w:space="0" w:color="auto"/>
            </w:tcBorders>
          </w:tcPr>
          <w:p w14:paraId="72B3BA3F" w14:textId="77777777" w:rsidR="00EA2950" w:rsidRPr="00EA2950" w:rsidRDefault="00EA2950" w:rsidP="00EA2950">
            <w:pPr>
              <w:pStyle w:val="TableParagraph"/>
              <w:rPr>
                <w:b/>
              </w:rPr>
            </w:pPr>
            <w:r w:rsidRPr="00EA2950">
              <w:rPr>
                <w:b/>
              </w:rPr>
              <w:t>Evaluation and Production of Arguments:</w:t>
            </w:r>
          </w:p>
          <w:p w14:paraId="3DFDA2EC" w14:textId="7973A137" w:rsidR="008C5A16" w:rsidRPr="00EA2950" w:rsidRDefault="00016DED" w:rsidP="006D44A9">
            <w:pPr>
              <w:pStyle w:val="TableParagraph"/>
            </w:pPr>
            <w:r>
              <w:t>Recognize and e</w:t>
            </w:r>
            <w:r w:rsidR="00EA2950" w:rsidRPr="00EA2950">
              <w:t xml:space="preserve">valuate the authority of sources in their own arguments and those of others; distinguish among supported claims, unsupported claims, facts, inferences, and opinions. </w:t>
            </w:r>
          </w:p>
        </w:tc>
        <w:tc>
          <w:tcPr>
            <w:tcW w:w="2480" w:type="dxa"/>
            <w:tcBorders>
              <w:left w:val="single" w:sz="12" w:space="0" w:color="auto"/>
            </w:tcBorders>
          </w:tcPr>
          <w:p w14:paraId="46601FF6" w14:textId="0595233F" w:rsidR="008C5A16" w:rsidRPr="00D62070" w:rsidRDefault="00114DE2" w:rsidP="00114DE2">
            <w:pPr>
              <w:pStyle w:val="TableParagraph"/>
              <w:rPr>
                <w:szCs w:val="18"/>
              </w:rPr>
            </w:pPr>
            <w:r>
              <w:rPr>
                <w:szCs w:val="18"/>
              </w:rPr>
              <w:t>Neither an understanding of the varying degrees of authority in sources or the distinction between supported and unsupported claims is evident</w:t>
            </w:r>
            <w:r w:rsidR="0079713A">
              <w:rPr>
                <w:szCs w:val="18"/>
              </w:rPr>
              <w:t>; no claims are made.</w:t>
            </w:r>
            <w:r>
              <w:rPr>
                <w:szCs w:val="18"/>
              </w:rPr>
              <w:t xml:space="preserve">  </w:t>
            </w:r>
          </w:p>
        </w:tc>
        <w:tc>
          <w:tcPr>
            <w:tcW w:w="2657" w:type="dxa"/>
          </w:tcPr>
          <w:p w14:paraId="70B6ED3E" w14:textId="2F8162EB" w:rsidR="008C5A16" w:rsidRPr="00D62070" w:rsidRDefault="005A65C6" w:rsidP="00016DED">
            <w:pPr>
              <w:pStyle w:val="TableParagraph"/>
              <w:rPr>
                <w:szCs w:val="18"/>
              </w:rPr>
            </w:pPr>
            <w:r>
              <w:rPr>
                <w:szCs w:val="18"/>
              </w:rPr>
              <w:t>An understanding</w:t>
            </w:r>
            <w:r w:rsidR="0005702C" w:rsidRPr="0005702C">
              <w:rPr>
                <w:szCs w:val="18"/>
              </w:rPr>
              <w:t xml:space="preserve"> that sources h</w:t>
            </w:r>
            <w:r w:rsidR="00016DED">
              <w:rPr>
                <w:szCs w:val="18"/>
              </w:rPr>
              <w:t xml:space="preserve">ave varied </w:t>
            </w:r>
            <w:r w:rsidR="0005702C" w:rsidRPr="0005702C">
              <w:rPr>
                <w:szCs w:val="18"/>
              </w:rPr>
              <w:t>authority and that claims can be facts, opinions, inferences, and supported or unsupported</w:t>
            </w:r>
            <w:r w:rsidR="006E4D91">
              <w:rPr>
                <w:szCs w:val="18"/>
              </w:rPr>
              <w:t xml:space="preserve"> is present, but no further evaluation is given</w:t>
            </w:r>
            <w:r w:rsidR="0079713A">
              <w:rPr>
                <w:szCs w:val="18"/>
              </w:rPr>
              <w:t>; it is apparent that any claims made or developed are minimally supported</w:t>
            </w:r>
            <w:r w:rsidR="0005702C" w:rsidRPr="0005702C">
              <w:rPr>
                <w:szCs w:val="18"/>
              </w:rPr>
              <w:t>.</w:t>
            </w:r>
          </w:p>
        </w:tc>
        <w:tc>
          <w:tcPr>
            <w:tcW w:w="2518" w:type="dxa"/>
          </w:tcPr>
          <w:p w14:paraId="34B84B4D" w14:textId="46E45499" w:rsidR="008C5A16" w:rsidRPr="00D62070" w:rsidRDefault="00016DED" w:rsidP="00016DED">
            <w:pPr>
              <w:pStyle w:val="TableParagraph"/>
              <w:rPr>
                <w:szCs w:val="18"/>
              </w:rPr>
            </w:pPr>
            <w:r>
              <w:t xml:space="preserve">There is an </w:t>
            </w:r>
            <w:r>
              <w:rPr>
                <w:szCs w:val="18"/>
              </w:rPr>
              <w:t>evaluation of one or more</w:t>
            </w:r>
            <w:r w:rsidR="0005702C" w:rsidRPr="0005702C">
              <w:rPr>
                <w:szCs w:val="18"/>
              </w:rPr>
              <w:t xml:space="preserve"> source’s authority; </w:t>
            </w:r>
            <w:r>
              <w:rPr>
                <w:szCs w:val="18"/>
              </w:rPr>
              <w:t>there is work distinguishing</w:t>
            </w:r>
            <w:r w:rsidR="0005702C" w:rsidRPr="0005702C">
              <w:rPr>
                <w:szCs w:val="18"/>
              </w:rPr>
              <w:t xml:space="preserve"> among facts, opinions, and inferences; claims that are supported</w:t>
            </w:r>
            <w:r>
              <w:rPr>
                <w:szCs w:val="18"/>
              </w:rPr>
              <w:t xml:space="preserve"> or</w:t>
            </w:r>
            <w:r w:rsidR="0005702C" w:rsidRPr="0005702C">
              <w:rPr>
                <w:szCs w:val="18"/>
              </w:rPr>
              <w:t xml:space="preserve"> uns</w:t>
            </w:r>
            <w:r w:rsidR="0005702C">
              <w:rPr>
                <w:szCs w:val="18"/>
              </w:rPr>
              <w:t>upported</w:t>
            </w:r>
            <w:r>
              <w:rPr>
                <w:szCs w:val="18"/>
              </w:rPr>
              <w:t xml:space="preserve"> are identified</w:t>
            </w:r>
            <w:r w:rsidR="0079713A">
              <w:rPr>
                <w:szCs w:val="18"/>
              </w:rPr>
              <w:t>; any claims made or developed are somewhat supported by relevant arguments</w:t>
            </w:r>
            <w:r w:rsidR="0005702C" w:rsidRPr="0005702C">
              <w:rPr>
                <w:szCs w:val="18"/>
              </w:rPr>
              <w:t>.</w:t>
            </w:r>
          </w:p>
        </w:tc>
        <w:tc>
          <w:tcPr>
            <w:tcW w:w="2906" w:type="dxa"/>
          </w:tcPr>
          <w:p w14:paraId="1D2D927B" w14:textId="1F9861B2" w:rsidR="008C5A16" w:rsidRPr="00D62070" w:rsidRDefault="00BB591F" w:rsidP="00BB591F">
            <w:pPr>
              <w:pStyle w:val="TableParagraph"/>
              <w:rPr>
                <w:szCs w:val="18"/>
              </w:rPr>
            </w:pPr>
            <w:r>
              <w:rPr>
                <w:szCs w:val="18"/>
              </w:rPr>
              <w:t>C</w:t>
            </w:r>
            <w:r w:rsidR="0005702C" w:rsidRPr="0005702C">
              <w:rPr>
                <w:szCs w:val="18"/>
              </w:rPr>
              <w:t>laims that are supported by evidence and reasoning</w:t>
            </w:r>
            <w:r>
              <w:rPr>
                <w:szCs w:val="18"/>
              </w:rPr>
              <w:t xml:space="preserve"> are identified and further developed</w:t>
            </w:r>
            <w:r w:rsidR="0005702C" w:rsidRPr="0005702C">
              <w:rPr>
                <w:szCs w:val="18"/>
              </w:rPr>
              <w:t xml:space="preserve">; arguments of others </w:t>
            </w:r>
            <w:r>
              <w:rPr>
                <w:szCs w:val="18"/>
              </w:rPr>
              <w:t>are evaluated</w:t>
            </w:r>
            <w:r w:rsidRPr="0005702C">
              <w:rPr>
                <w:szCs w:val="18"/>
              </w:rPr>
              <w:t xml:space="preserve"> and integrate</w:t>
            </w:r>
            <w:r>
              <w:rPr>
                <w:szCs w:val="18"/>
              </w:rPr>
              <w:t>d</w:t>
            </w:r>
            <w:r w:rsidRPr="0005702C">
              <w:rPr>
                <w:szCs w:val="18"/>
              </w:rPr>
              <w:t xml:space="preserve"> </w:t>
            </w:r>
            <w:r>
              <w:rPr>
                <w:szCs w:val="18"/>
              </w:rPr>
              <w:t xml:space="preserve">into the </w:t>
            </w:r>
            <w:r w:rsidR="0005702C" w:rsidRPr="0005702C">
              <w:rPr>
                <w:szCs w:val="18"/>
              </w:rPr>
              <w:t>written and spoken arguments</w:t>
            </w:r>
            <w:r>
              <w:rPr>
                <w:szCs w:val="18"/>
              </w:rPr>
              <w:t xml:space="preserve"> in the work</w:t>
            </w:r>
            <w:r w:rsidR="0005702C" w:rsidRPr="0005702C">
              <w:rPr>
                <w:szCs w:val="18"/>
              </w:rPr>
              <w:t>.</w:t>
            </w:r>
          </w:p>
        </w:tc>
      </w:tr>
    </w:tbl>
    <w:p w14:paraId="73354AEA" w14:textId="77777777" w:rsidR="005A65C6" w:rsidRDefault="005A65C6" w:rsidP="00333B37">
      <w:pPr>
        <w:rPr>
          <w:b/>
        </w:rPr>
      </w:pPr>
    </w:p>
    <w:p w14:paraId="5FDBF051" w14:textId="7AD41D26" w:rsidR="00333B37" w:rsidRDefault="00333B37" w:rsidP="00BB591F">
      <w:r w:rsidRPr="00333B37">
        <w:rPr>
          <w:b/>
        </w:rPr>
        <w:t>Student Artifact Guidelines:</w:t>
      </w:r>
      <w:r>
        <w:t xml:space="preserve"> </w:t>
      </w:r>
      <w:r w:rsidR="00BB591F">
        <w:t xml:space="preserve">Written documents and oral and electronic presentations should prepare students for or resemble those that graduates of the department or program typically perform for their work or lives. For instance, if assessment of recent graduates from a finance program determines that its alumni take jobs requiring them to address their communications almost exclusively to lay audiences for the purpose of recommending sound, personalized </w:t>
      </w:r>
      <w:r w:rsidR="00BB591F">
        <w:lastRenderedPageBreak/>
        <w:t>investment strategies, then students’ ability to deliver effective performances in that genre, for that audience, and about similar ill-structured problems (with no single “right” answer) would be an appropriate measure of the competency.</w:t>
      </w:r>
    </w:p>
    <w:sectPr w:rsidR="00333B37" w:rsidSect="009E24B9">
      <w:headerReference w:type="default" r:id="rId8"/>
      <w:footerReference w:type="default" r:id="rId9"/>
      <w:pgSz w:w="15840" w:h="12240" w:orient="landscape"/>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C96112" w14:textId="77777777" w:rsidR="000C49FE" w:rsidRDefault="000C49FE" w:rsidP="009E24B9">
      <w:pPr>
        <w:spacing w:after="0" w:line="240" w:lineRule="auto"/>
      </w:pPr>
      <w:r>
        <w:separator/>
      </w:r>
    </w:p>
  </w:endnote>
  <w:endnote w:type="continuationSeparator" w:id="0">
    <w:p w14:paraId="5E57AA83" w14:textId="77777777" w:rsidR="000C49FE" w:rsidRDefault="000C49FE" w:rsidP="009E24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206D2" w14:textId="77777777" w:rsidR="009E24B9" w:rsidRDefault="009E24B9" w:rsidP="009E24B9">
    <w:pPr>
      <w:pStyle w:val="Footer"/>
      <w:jc w:val="both"/>
    </w:pPr>
    <w:r>
      <w:t xml:space="preserve">UNM Office of Assessment </w:t>
    </w:r>
    <w:r>
      <w:ptab w:relativeTo="margin" w:alignment="center" w:leader="none"/>
    </w:r>
    <w:r>
      <w:ptab w:relativeTo="margin" w:alignment="right" w:leader="none"/>
    </w:r>
    <w:r>
      <w:t>March 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893C5B" w14:textId="77777777" w:rsidR="000C49FE" w:rsidRDefault="000C49FE" w:rsidP="009E24B9">
      <w:pPr>
        <w:spacing w:after="0" w:line="240" w:lineRule="auto"/>
      </w:pPr>
      <w:r>
        <w:separator/>
      </w:r>
    </w:p>
  </w:footnote>
  <w:footnote w:type="continuationSeparator" w:id="0">
    <w:p w14:paraId="0F6A2CE4" w14:textId="77777777" w:rsidR="000C49FE" w:rsidRDefault="000C49FE" w:rsidP="009E24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38024" w14:textId="151DB939" w:rsidR="009E24B9" w:rsidRPr="009E24B9" w:rsidRDefault="008A1325" w:rsidP="009E24B9">
    <w:pPr>
      <w:spacing w:before="84"/>
      <w:ind w:left="102"/>
      <w:rPr>
        <w:b/>
        <w:sz w:val="24"/>
        <w:szCs w:val="24"/>
      </w:rPr>
    </w:pPr>
    <w:r>
      <w:rPr>
        <w:b/>
        <w:sz w:val="24"/>
        <w:szCs w:val="24"/>
      </w:rPr>
      <w:t xml:space="preserve">UNM </w:t>
    </w:r>
    <w:r w:rsidR="009E24B9" w:rsidRPr="009E24B9">
      <w:rPr>
        <w:b/>
        <w:sz w:val="24"/>
        <w:szCs w:val="24"/>
      </w:rPr>
      <w:t>General Education Learning Outcome</w:t>
    </w:r>
    <w:r>
      <w:rPr>
        <w:b/>
        <w:sz w:val="24"/>
        <w:szCs w:val="24"/>
      </w:rPr>
      <w:t xml:space="preserve"> Rubrics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4B9"/>
    <w:rsid w:val="00016DED"/>
    <w:rsid w:val="00025931"/>
    <w:rsid w:val="000557FF"/>
    <w:rsid w:val="0005702C"/>
    <w:rsid w:val="000C49FE"/>
    <w:rsid w:val="000D7B41"/>
    <w:rsid w:val="00114DE2"/>
    <w:rsid w:val="0012297E"/>
    <w:rsid w:val="00152461"/>
    <w:rsid w:val="0015455A"/>
    <w:rsid w:val="00167C7A"/>
    <w:rsid w:val="00225A52"/>
    <w:rsid w:val="002336BD"/>
    <w:rsid w:val="002340DC"/>
    <w:rsid w:val="002653CB"/>
    <w:rsid w:val="0028438C"/>
    <w:rsid w:val="002B3B9B"/>
    <w:rsid w:val="002E075F"/>
    <w:rsid w:val="00333B37"/>
    <w:rsid w:val="00335622"/>
    <w:rsid w:val="00336EE7"/>
    <w:rsid w:val="003851EC"/>
    <w:rsid w:val="003F3C41"/>
    <w:rsid w:val="00402A7D"/>
    <w:rsid w:val="00405E43"/>
    <w:rsid w:val="004619E7"/>
    <w:rsid w:val="00476DC8"/>
    <w:rsid w:val="004C6C6C"/>
    <w:rsid w:val="004D7600"/>
    <w:rsid w:val="005A274F"/>
    <w:rsid w:val="005A65C6"/>
    <w:rsid w:val="005C5BDC"/>
    <w:rsid w:val="005D0835"/>
    <w:rsid w:val="005F311B"/>
    <w:rsid w:val="00631BAA"/>
    <w:rsid w:val="00643685"/>
    <w:rsid w:val="006443E7"/>
    <w:rsid w:val="00645D58"/>
    <w:rsid w:val="00675362"/>
    <w:rsid w:val="006926F7"/>
    <w:rsid w:val="006B7B7D"/>
    <w:rsid w:val="006D44A9"/>
    <w:rsid w:val="006E11F8"/>
    <w:rsid w:val="006E4D91"/>
    <w:rsid w:val="007477B3"/>
    <w:rsid w:val="00777FD5"/>
    <w:rsid w:val="00795E7D"/>
    <w:rsid w:val="0079713A"/>
    <w:rsid w:val="007B0BA1"/>
    <w:rsid w:val="007B3C33"/>
    <w:rsid w:val="00814B32"/>
    <w:rsid w:val="008251AF"/>
    <w:rsid w:val="0086026A"/>
    <w:rsid w:val="008A1325"/>
    <w:rsid w:val="008A17D3"/>
    <w:rsid w:val="008C230A"/>
    <w:rsid w:val="008C5A16"/>
    <w:rsid w:val="009223B4"/>
    <w:rsid w:val="009821B4"/>
    <w:rsid w:val="00983183"/>
    <w:rsid w:val="009A50D2"/>
    <w:rsid w:val="009E24B9"/>
    <w:rsid w:val="00A33C18"/>
    <w:rsid w:val="00A44F67"/>
    <w:rsid w:val="00A806A4"/>
    <w:rsid w:val="00A95C53"/>
    <w:rsid w:val="00AB533B"/>
    <w:rsid w:val="00AF50BF"/>
    <w:rsid w:val="00B1604C"/>
    <w:rsid w:val="00B36D19"/>
    <w:rsid w:val="00B8610B"/>
    <w:rsid w:val="00B86FA6"/>
    <w:rsid w:val="00BB591F"/>
    <w:rsid w:val="00BC6D4B"/>
    <w:rsid w:val="00BD7A62"/>
    <w:rsid w:val="00BE5F21"/>
    <w:rsid w:val="00C173B8"/>
    <w:rsid w:val="00C3472D"/>
    <w:rsid w:val="00C35656"/>
    <w:rsid w:val="00C537AD"/>
    <w:rsid w:val="00C763A0"/>
    <w:rsid w:val="00C92C18"/>
    <w:rsid w:val="00CB1C96"/>
    <w:rsid w:val="00CD27A3"/>
    <w:rsid w:val="00D066AD"/>
    <w:rsid w:val="00D104D0"/>
    <w:rsid w:val="00D50EC3"/>
    <w:rsid w:val="00DA6A6E"/>
    <w:rsid w:val="00DB3774"/>
    <w:rsid w:val="00DC7727"/>
    <w:rsid w:val="00DE7FA8"/>
    <w:rsid w:val="00E44B29"/>
    <w:rsid w:val="00EA2950"/>
    <w:rsid w:val="00EC023F"/>
    <w:rsid w:val="00EC6D12"/>
    <w:rsid w:val="00EE715E"/>
    <w:rsid w:val="00F010B7"/>
    <w:rsid w:val="00F55898"/>
    <w:rsid w:val="00F83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A4CCF9"/>
  <w15:chartTrackingRefBased/>
  <w15:docId w15:val="{E3E68682-6D0E-419C-A32A-6A0867405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9E24B9"/>
    <w:pPr>
      <w:widowControl w:val="0"/>
      <w:autoSpaceDE w:val="0"/>
      <w:autoSpaceDN w:val="0"/>
      <w:spacing w:after="0" w:line="240" w:lineRule="auto"/>
      <w:ind w:left="102"/>
      <w:outlineLvl w:val="0"/>
    </w:pPr>
    <w:rPr>
      <w:rFonts w:ascii="Calibri" w:eastAsia="Calibri" w:hAnsi="Calibri" w:cs="Calibri"/>
      <w:b/>
      <w:bCs/>
      <w:sz w:val="3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4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24B9"/>
  </w:style>
  <w:style w:type="paragraph" w:styleId="Footer">
    <w:name w:val="footer"/>
    <w:basedOn w:val="Normal"/>
    <w:link w:val="FooterChar"/>
    <w:uiPriority w:val="99"/>
    <w:unhideWhenUsed/>
    <w:rsid w:val="009E24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24B9"/>
  </w:style>
  <w:style w:type="character" w:styleId="CommentReference">
    <w:name w:val="annotation reference"/>
    <w:basedOn w:val="DefaultParagraphFont"/>
    <w:uiPriority w:val="99"/>
    <w:semiHidden/>
    <w:unhideWhenUsed/>
    <w:rsid w:val="009E24B9"/>
    <w:rPr>
      <w:sz w:val="16"/>
      <w:szCs w:val="16"/>
    </w:rPr>
  </w:style>
  <w:style w:type="character" w:customStyle="1" w:styleId="Heading1Char">
    <w:name w:val="Heading 1 Char"/>
    <w:basedOn w:val="DefaultParagraphFont"/>
    <w:link w:val="Heading1"/>
    <w:uiPriority w:val="1"/>
    <w:rsid w:val="009E24B9"/>
    <w:rPr>
      <w:rFonts w:ascii="Calibri" w:eastAsia="Calibri" w:hAnsi="Calibri" w:cs="Calibri"/>
      <w:b/>
      <w:bCs/>
      <w:sz w:val="36"/>
      <w:szCs w:val="21"/>
    </w:rPr>
  </w:style>
  <w:style w:type="paragraph" w:styleId="BodyText">
    <w:name w:val="Body Text"/>
    <w:basedOn w:val="Normal"/>
    <w:link w:val="BodyTextChar"/>
    <w:uiPriority w:val="99"/>
    <w:semiHidden/>
    <w:unhideWhenUsed/>
    <w:rsid w:val="0086026A"/>
    <w:pPr>
      <w:spacing w:after="120"/>
    </w:pPr>
  </w:style>
  <w:style w:type="character" w:customStyle="1" w:styleId="BodyTextChar">
    <w:name w:val="Body Text Char"/>
    <w:basedOn w:val="DefaultParagraphFont"/>
    <w:link w:val="BodyText"/>
    <w:uiPriority w:val="99"/>
    <w:semiHidden/>
    <w:rsid w:val="0086026A"/>
  </w:style>
  <w:style w:type="character" w:styleId="Hyperlink">
    <w:name w:val="Hyperlink"/>
    <w:basedOn w:val="DefaultParagraphFont"/>
    <w:uiPriority w:val="99"/>
    <w:unhideWhenUsed/>
    <w:rsid w:val="0086026A"/>
    <w:rPr>
      <w:color w:val="0563C1" w:themeColor="hyperlink"/>
      <w:u w:val="single"/>
    </w:rPr>
  </w:style>
  <w:style w:type="paragraph" w:styleId="CommentText">
    <w:name w:val="annotation text"/>
    <w:basedOn w:val="Normal"/>
    <w:link w:val="CommentTextChar"/>
    <w:uiPriority w:val="99"/>
    <w:semiHidden/>
    <w:unhideWhenUsed/>
    <w:rsid w:val="008A1325"/>
    <w:pPr>
      <w:spacing w:line="240" w:lineRule="auto"/>
    </w:pPr>
    <w:rPr>
      <w:sz w:val="20"/>
      <w:szCs w:val="20"/>
    </w:rPr>
  </w:style>
  <w:style w:type="character" w:customStyle="1" w:styleId="CommentTextChar">
    <w:name w:val="Comment Text Char"/>
    <w:basedOn w:val="DefaultParagraphFont"/>
    <w:link w:val="CommentText"/>
    <w:uiPriority w:val="99"/>
    <w:semiHidden/>
    <w:rsid w:val="008A1325"/>
    <w:rPr>
      <w:sz w:val="20"/>
      <w:szCs w:val="20"/>
    </w:rPr>
  </w:style>
  <w:style w:type="paragraph" w:styleId="BalloonText">
    <w:name w:val="Balloon Text"/>
    <w:basedOn w:val="Normal"/>
    <w:link w:val="BalloonTextChar"/>
    <w:uiPriority w:val="99"/>
    <w:semiHidden/>
    <w:unhideWhenUsed/>
    <w:rsid w:val="008A13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1325"/>
    <w:rPr>
      <w:rFonts w:ascii="Segoe UI" w:hAnsi="Segoe UI" w:cs="Segoe UI"/>
      <w:sz w:val="18"/>
      <w:szCs w:val="18"/>
    </w:rPr>
  </w:style>
  <w:style w:type="table" w:styleId="TableGrid">
    <w:name w:val="Table Grid"/>
    <w:basedOn w:val="TableNormal"/>
    <w:uiPriority w:val="39"/>
    <w:rsid w:val="008A1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A1325"/>
    <w:pPr>
      <w:widowControl w:val="0"/>
      <w:autoSpaceDE w:val="0"/>
      <w:autoSpaceDN w:val="0"/>
      <w:spacing w:after="0" w:line="199" w:lineRule="exact"/>
      <w:ind w:left="114"/>
    </w:pPr>
    <w:rPr>
      <w:rFonts w:ascii="Cambria" w:eastAsia="Calibri" w:hAnsi="Cambria" w:cs="Calibri"/>
      <w:sz w:val="18"/>
    </w:rPr>
  </w:style>
  <w:style w:type="paragraph" w:styleId="CommentSubject">
    <w:name w:val="annotation subject"/>
    <w:basedOn w:val="CommentText"/>
    <w:next w:val="CommentText"/>
    <w:link w:val="CommentSubjectChar"/>
    <w:uiPriority w:val="99"/>
    <w:semiHidden/>
    <w:unhideWhenUsed/>
    <w:rsid w:val="008C5A16"/>
    <w:rPr>
      <w:b/>
      <w:bCs/>
    </w:rPr>
  </w:style>
  <w:style w:type="character" w:customStyle="1" w:styleId="CommentSubjectChar">
    <w:name w:val="Comment Subject Char"/>
    <w:basedOn w:val="CommentTextChar"/>
    <w:link w:val="CommentSubject"/>
    <w:uiPriority w:val="99"/>
    <w:semiHidden/>
    <w:rsid w:val="008C5A1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aacu.org/value-rubric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acu.org/value-rubrics"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604</Words>
  <Characters>3444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New Mexico</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Boyce Russo</dc:creator>
  <cp:keywords/>
  <dc:description/>
  <cp:lastModifiedBy>William Richard Slauson</cp:lastModifiedBy>
  <cp:revision>3</cp:revision>
  <dcterms:created xsi:type="dcterms:W3CDTF">2020-05-26T13:30:00Z</dcterms:created>
  <dcterms:modified xsi:type="dcterms:W3CDTF">2020-05-26T13:31:00Z</dcterms:modified>
</cp:coreProperties>
</file>